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26-287</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441—Chapters 2, 300, 302, and 304</w:t>
      </w:r>
    </w:p>
    <w:p>
      <w:pPr>
        <w:spacing w:before="0" w:after="0" w:line="480"/>
        <w:ind w:left="120"/>
        <w:jc w:val="center"/>
      </w:pPr>
      <w:r>
        <w:rPr>
          <w:rFonts w:ascii="Times New Roman" w:hAnsi="Times New Roman"/>
          <w:b w:val="false"/>
          <w:i w:val="false"/>
          <w:color w:val="000000"/>
          <w:sz w:val="24"/>
        </w:rPr>
        <w:t>“Health and Human Services Districts”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217.1B(3) as enacted by 2026 Iowa Acts, House File 2707, and 225A as amended by 2026 Iowa Acts, House File 2707</w:t>
      </w:r>
    </w:p>
    <w:p>
      <w:pPr>
        <w:spacing w:before="0" w:after="0" w:line="480"/>
        <w:ind w:left="120"/>
        <w:jc w:val="both"/>
      </w:pPr>
      <w:r>
        <w:rPr>
          <w:rFonts w:ascii="Times New Roman" w:hAnsi="Times New Roman"/>
          <w:b w:val="false"/>
          <w:i w:val="false"/>
          <w:color w:val="000000"/>
          <w:sz w:val="24"/>
        </w:rPr>
        <w:t>State or federal law(s) implemented by the rulemaking: Iowa Code section 217.1B as enacted by 2026 Iowa Acts, House File 2707, and Iowa Code chapter 225A as amended by 2026 Iowa Acts, House File 2707</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6,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Meeting ID: 211 532 914 792 67 </w:t>
            </w:r>
            <w:r>
              <w:br/>
            </w:r>
            <w:r>
              <w:rPr>
                <w:rFonts w:ascii="Times New Roman" w:hAnsi="Times New Roman"/>
                <w:b w:val="false"/>
                <w:i w:val="false"/>
                <w:color w:val="000000"/>
                <w:sz w:val="14"/>
              </w:rPr>
              <w:t xml:space="preserve">Passcode: 94Ve93DX </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Department of Health and Human Services</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implements 2026 Iowa Acts, House File 2707, by creating rules for the Health and Human Services Districts (HHS Districts) enabled by the legislation. The proposed rules outline how the Department will undertake the required HHS District review, including data to be analyzed and mechanisms for feedback.</w:t>
      </w:r>
    </w:p>
    <w:p>
      <w:pPr>
        <w:spacing w:before="0" w:after="0" w:line="480"/>
        <w:ind w:left="120"/>
        <w:jc w:val="both"/>
      </w:pPr>
      <w:r>
        <w:rPr>
          <w:rFonts w:ascii="Times New Roman" w:hAnsi="Times New Roman"/>
          <w:b w:val="false"/>
          <w:i w:val="false"/>
          <w:color w:val="000000"/>
          <w:sz w:val="24"/>
        </w:rPr>
        <w:t>    The proposed rulemaking also implements 2026 Iowa Acts, House File 2707, by making the definition updates in 2026 Iowa Acts, House File 2707, sections 5 through 21, to the Department’s Behavioral Health Service System rules.</w:t>
      </w:r>
    </w:p>
    <w:p>
      <w:pPr>
        <w:spacing w:before="0" w:after="0" w:line="480"/>
        <w:ind w:left="120"/>
        <w:jc w:val="both"/>
      </w:pPr>
      <w:r>
        <w:rPr>
          <w:rFonts w:ascii="Times New Roman" w:hAnsi="Times New Roman"/>
          <w:b w:val="false"/>
          <w:i w:val="false"/>
          <w:color w:val="000000"/>
          <w:sz w:val="24"/>
        </w:rPr>
        <w:t>    References to Iowa Code sections 225A.1 and 225A.5 are to those sections as amended by 2026 Iowa Acts, House File 2707. References to Iowa Code sections 217.1 and 217.1B are to those sections as enacted by 2026 Iowa Acts, House File 2707. The reference to Iowa Code section 234A.3 is to that section as enacted by 2026 Iowa Acts, Senate File 2488.</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Iowans will benefit from the integration and coordination of health and human services delivery that are enabled by 2026 Iowa Acts, House File 2707, and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currently seven HHS districts.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Iowans will benefit from the integration and coordination of health and human services delivery that are enabled by 2026 Iowa Acts, House File 2707, and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incurs personnel and other administrative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has no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Rulemaking is required by Iowa Code section 217.1B(3) as enacted by 2026 Iowa Acts, House File 2707.</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has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441—Chapter 2</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w:t>
      </w:r>
    </w:p>
    <w:p>
      <w:pPr>
        <w:spacing w:before="0" w:after="0" w:line="480"/>
        <w:ind w:left="120"/>
        <w:jc w:val="center"/>
      </w:pPr>
      <w:r>
        <w:rPr>
          <w:rFonts w:ascii="Times New Roman" w:hAnsi="Times New Roman"/>
          <w:b w:val="false"/>
          <w:i w:val="false"/>
          <w:color w:val="000000"/>
          <w:sz w:val="21"/>
        </w:rPr>
        <w:t>HEALTH AND HUMAN SERVICES DISTRICTS</w:t>
      </w:r>
    </w:p>
    <w:p>
      <w:pPr>
        <w:spacing w:before="0" w:after="0" w:line="480"/>
        <w:ind w:left="120"/>
        <w:jc w:val="both"/>
      </w:pPr>
      <w:r>
        <w:rPr>
          <w:rFonts w:ascii="Times New Roman" w:hAnsi="Times New Roman"/>
          <w:b/>
          <w:i w:val="false"/>
          <w:color w:val="000000"/>
          <w:sz w:val="24"/>
        </w:rPr>
        <w:t>441—2.1</w:t>
      </w:r>
      <w:r>
        <w:rPr>
          <w:rFonts w:ascii="Times New Roman" w:hAnsi="Times New Roman"/>
          <w:b/>
          <w:i w:val="false"/>
          <w:color w:val="000000"/>
          <w:sz w:val="24"/>
        </w:rPr>
        <w:t xml:space="preserve">(217)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the purposes of these rules,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“Agency action”</w:t>
      </w:r>
      <w:r>
        <w:rPr>
          <w:rFonts w:ascii="Times New Roman" w:hAnsi="Times New Roman"/>
          <w:b w:val="false"/>
          <w:i/>
          <w:color w:val="000000"/>
          <w:sz w:val="24"/>
          <w:u w:val="single"/>
        </w:rPr>
        <w:t> </w:t>
      </w:r>
      <w:r>
        <w:rPr>
          <w:rFonts w:ascii="Times New Roman" w:hAnsi="Times New Roman"/>
          <w:b w:val="false"/>
          <w:i w:val="false"/>
          <w:color w:val="000000"/>
          <w:sz w:val="24"/>
        </w:rPr>
        <w:t>includes the whole or part of an agency rule or other statement of law or policy, order, decision, license, proceeding, investigation, sanction, relief, or the equivalent or a denial thereof, or a failure to act, or any other exercise of agency discretion or failure to do so, or the performance of any agency duty or the failure to do so.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“Council”</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council on health and human services established in Iowa Code section </w:t>
      </w:r>
      <w:hyperlink r:id="rId5">
        <w:r>
          <w:rPr>
            <w:rStyle w:val="Hyperlink"/>
            <w:rFonts w:ascii="Times New Roman" w:hAnsi="Times New Roman"/>
            <w:b w:val="false"/>
            <w:i w:val="false"/>
            <w:color w:val="000000"/>
            <w:sz w:val="24"/>
          </w:rPr>
          <w:t>217.2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“District advisory councils”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advisory councils, including but not limited to those established by Iowa Code sections </w:t>
      </w:r>
      <w:hyperlink r:id="rId6">
        <w:r>
          <w:rPr>
            <w:rStyle w:val="Hyperlink"/>
            <w:rFonts w:ascii="Times New Roman" w:hAnsi="Times New Roman"/>
            <w:b w:val="false"/>
            <w:i w:val="false"/>
            <w:color w:val="000000"/>
            <w:sz w:val="24"/>
          </w:rPr>
          <w:t>225A.5</w:t>
        </w:r>
      </w:hyperlink>
      <w:r>
        <w:rPr>
          <w:rFonts w:ascii="Times New Roman" w:hAnsi="Times New Roman"/>
          <w:b w:val="false"/>
          <w:i w:val="false"/>
          <w:color w:val="000000"/>
          <w:sz w:val="24"/>
        </w:rPr>
        <w:t xml:space="preserve"> and </w:t>
      </w:r>
      <w:hyperlink r:id="rId7">
        <w:r>
          <w:rPr>
            <w:rStyle w:val="Hyperlink"/>
            <w:rFonts w:ascii="Times New Roman" w:hAnsi="Times New Roman"/>
            <w:b w:val="false"/>
            <w:i w:val="false"/>
            <w:color w:val="000000"/>
            <w:sz w:val="24"/>
          </w:rPr>
          <w:t>234A.3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“Efficacy”</w:t>
      </w:r>
      <w:r>
        <w:rPr>
          <w:rFonts w:ascii="Times New Roman" w:hAnsi="Times New Roman"/>
          <w:b w:val="false"/>
          <w:i/>
          <w:color w:val="000000"/>
          <w:sz w:val="24"/>
          <w:u w:val="single"/>
        </w:rPr>
        <w:t> </w:t>
      </w:r>
      <w:r>
        <w:rPr>
          <w:rFonts w:ascii="Times New Roman" w:hAnsi="Times New Roman"/>
          <w:b w:val="false"/>
          <w:i w:val="false"/>
          <w:color w:val="000000"/>
          <w:sz w:val="24"/>
        </w:rPr>
        <w:t>means the degree to which existing HHS system partners effectively coordinate within a district to ensure statewide delivery of the programs and services offered by each HHS service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“Health and human services district”</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“HHS district”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217.1(4)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“Health and human services system”</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“HHS services system”</w:t>
      </w:r>
      <w:r>
        <w:rPr>
          <w:rFonts w:ascii="Times New Roman" w:hAnsi="Times New Roman"/>
          <w:b w:val="false"/>
          <w:i/>
          <w:color w:val="000000"/>
          <w:sz w:val="24"/>
          <w:u w:val="single"/>
        </w:rPr>
        <w:t> </w:t>
      </w:r>
      <w:r>
        <w:rPr>
          <w:rFonts w:ascii="Times New Roman" w:hAnsi="Times New Roman"/>
          <w:b w:val="false"/>
          <w:i w:val="false"/>
          <w:color w:val="000000"/>
          <w:sz w:val="24"/>
        </w:rPr>
        <w:t>means any of the statewide service systems administered by the department to provide activities and services to Iowans and communities through HHS system partners.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“HHS system partners”</w:t>
      </w:r>
      <w:r>
        <w:rPr>
          <w:rFonts w:ascii="Times New Roman" w:hAnsi="Times New Roman"/>
          <w:b w:val="false"/>
          <w:i/>
          <w:color w:val="000000"/>
          <w:sz w:val="24"/>
          <w:u w:val="single"/>
        </w:rPr>
        <w:t> </w:t>
      </w:r>
      <w:r>
        <w:rPr>
          <w:rFonts w:ascii="Times New Roman" w:hAnsi="Times New Roman"/>
          <w:b w:val="false"/>
          <w:i w:val="false"/>
          <w:color w:val="000000"/>
          <w:sz w:val="24"/>
        </w:rPr>
        <w:t>means the department, identified lead entities, and local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“Lead entity”</w:t>
      </w:r>
      <w:r>
        <w:rPr>
          <w:rFonts w:ascii="Times New Roman" w:hAnsi="Times New Roman"/>
          <w:b w:val="false"/>
          <w:i/>
          <w:color w:val="000000"/>
          <w:sz w:val="24"/>
          <w:u w:val="single"/>
        </w:rPr>
        <w:t> </w:t>
      </w:r>
      <w:r>
        <w:rPr>
          <w:rFonts w:ascii="Times New Roman" w:hAnsi="Times New Roman"/>
          <w:b w:val="false"/>
          <w:i w:val="false"/>
          <w:color w:val="000000"/>
          <w:sz w:val="24"/>
        </w:rPr>
        <w:t>means an HHS district‑level coordinating organization responsible for planning, organizing, and assuring delivery of assigned HHS services system activities across all counties within an HHS district.</w:t>
      </w:r>
    </w:p>
    <w:p>
      <w:pPr>
        <w:spacing w:before="0" w:after="0" w:line="480"/>
        <w:ind w:left="120"/>
        <w:jc w:val="both"/>
      </w:pPr>
      <w:r>
        <w:rPr>
          <w:rFonts w:ascii="Times New Roman" w:hAnsi="Times New Roman"/>
          <w:b/>
          <w:i w:val="false"/>
          <w:color w:val="000000"/>
          <w:sz w:val="24"/>
        </w:rPr>
        <w:t>441—2.2</w:t>
      </w:r>
      <w:r>
        <w:rPr>
          <w:rFonts w:ascii="Times New Roman" w:hAnsi="Times New Roman"/>
          <w:b/>
          <w:i w:val="false"/>
          <w:color w:val="000000"/>
          <w:sz w:val="24"/>
        </w:rPr>
        <w:t xml:space="preserve">(217) </w:t>
      </w:r>
      <w:r>
        <w:rPr>
          <w:rFonts w:ascii="Times New Roman" w:hAnsi="Times New Roman"/>
          <w:b/>
          <w:i w:val="false"/>
          <w:color w:val="000000"/>
          <w:sz w:val="24"/>
        </w:rPr>
        <w:t xml:space="preserve">Decennial HHS district review. </w:t>
      </w:r>
      <w:r>
        <w:rPr>
          <w:rFonts w:ascii="Times New Roman" w:hAnsi="Times New Roman"/>
          <w:b w:val="false"/>
          <w:i w:val="false"/>
          <w:color w:val="000000"/>
          <w:sz w:val="24"/>
        </w:rPr>
        <w:t xml:space="preserve">Beginning in calendar year 2032, the department will review the efficacy of the HHS districts pursuant to Iowa Code section </w:t>
      </w:r>
      <w:hyperlink r:id="rId9">
        <w:r>
          <w:rPr>
            <w:rStyle w:val="Hyperlink"/>
            <w:rFonts w:ascii="Times New Roman" w:hAnsi="Times New Roman"/>
            <w:b w:val="false"/>
            <w:i w:val="false"/>
            <w:color w:val="000000"/>
            <w:sz w:val="24"/>
          </w:rPr>
          <w:t>217.1B(1)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2.2(1)</w:t>
      </w:r>
      <w:r>
        <w:rPr>
          <w:rFonts w:ascii="Times New Roman" w:hAnsi="Times New Roman"/>
          <w:b w:val="false"/>
          <w:i w:val="false"/>
          <w:color w:val="000000"/>
          <w:sz w:val="24"/>
        </w:rPr>
        <w:t> </w:t>
      </w:r>
      <w:r>
        <w:rPr>
          <w:rFonts w:ascii="Times New Roman" w:hAnsi="Times New Roman"/>
          <w:b w:val="false"/>
          <w:i/>
          <w:color w:val="000000"/>
          <w:sz w:val="24"/>
        </w:rPr>
        <w:t xml:space="preserve">Data collection and analysis. </w:t>
      </w:r>
      <w:r>
        <w:rPr>
          <w:rFonts w:ascii="Times New Roman" w:hAnsi="Times New Roman"/>
          <w:b w:val="false"/>
          <w:i w:val="false"/>
          <w:color w:val="000000"/>
          <w:sz w:val="24"/>
        </w:rPr>
        <w:t>On an ongoing basis to facilitate the review, the department will collect data focused on access to care, level of service need, and overall risk of poor health and social outcomes.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2.2(2)</w:t>
      </w:r>
      <w:r>
        <w:rPr>
          <w:rFonts w:ascii="Times New Roman" w:hAnsi="Times New Roman"/>
          <w:b w:val="false"/>
          <w:i w:val="false"/>
          <w:color w:val="000000"/>
          <w:sz w:val="24"/>
        </w:rPr>
        <w:t> </w:t>
      </w:r>
      <w:r>
        <w:rPr>
          <w:rFonts w:ascii="Times New Roman" w:hAnsi="Times New Roman"/>
          <w:b w:val="false"/>
          <w:i/>
          <w:color w:val="000000"/>
          <w:sz w:val="24"/>
        </w:rPr>
        <w:t xml:space="preserve">Efficacy. </w:t>
      </w:r>
      <w:r>
        <w:rPr>
          <w:rFonts w:ascii="Times New Roman" w:hAnsi="Times New Roman"/>
          <w:b w:val="false"/>
          <w:i w:val="false"/>
          <w:color w:val="000000"/>
          <w:sz w:val="24"/>
        </w:rPr>
        <w:t>In determining efficacy, the department may consider: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data collected and analyzed under subrule </w:t>
      </w:r>
      <w:hyperlink r:id="rId10">
        <w:r>
          <w:rPr>
            <w:rStyle w:val="Hyperlink"/>
            <w:rFonts w:ascii="Times New Roman" w:hAnsi="Times New Roman"/>
            <w:b w:val="false"/>
            <w:i w:val="false"/>
            <w:color w:val="000000"/>
            <w:sz w:val="24"/>
          </w:rPr>
          <w:t>2.2(1)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degree to which HHS services systems are able to coordinate service delivery to Iowans;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Health and human services outcomes for Iowans as measured by the department;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other factors the department determines to be relevant.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2.2(3)</w:t>
      </w:r>
      <w:r>
        <w:rPr>
          <w:rFonts w:ascii="Times New Roman" w:hAnsi="Times New Roman"/>
          <w:b w:val="false"/>
          <w:i w:val="false"/>
          <w:color w:val="000000"/>
          <w:sz w:val="24"/>
        </w:rPr>
        <w:t> </w:t>
      </w:r>
      <w:r>
        <w:rPr>
          <w:rFonts w:ascii="Times New Roman" w:hAnsi="Times New Roman"/>
          <w:b w:val="false"/>
          <w:i/>
          <w:color w:val="000000"/>
          <w:sz w:val="24"/>
        </w:rPr>
        <w:t xml:space="preserve">Modification. </w:t>
      </w:r>
      <w:r>
        <w:rPr>
          <w:rFonts w:ascii="Times New Roman" w:hAnsi="Times New Roman"/>
          <w:b w:val="false"/>
          <w:i w:val="false"/>
          <w:color w:val="000000"/>
          <w:sz w:val="24"/>
        </w:rPr>
        <w:t xml:space="preserve">Subsequent to the review, the department will determine whether to retain the current HHS district designations or modify them pursuant to Iowa Code section </w:t>
      </w:r>
      <w:hyperlink r:id="rId11">
        <w:r>
          <w:rPr>
            <w:rStyle w:val="Hyperlink"/>
            <w:rFonts w:ascii="Times New Roman" w:hAnsi="Times New Roman"/>
            <w:b w:val="false"/>
            <w:i w:val="false"/>
            <w:color w:val="000000"/>
            <w:sz w:val="24"/>
          </w:rPr>
          <w:t>217.1B(2)</w:t>
        </w:r>
      </w:hyperlink>
      <w:r>
        <w:rPr>
          <w:rFonts w:ascii="Times New Roman" w:hAnsi="Times New Roman"/>
          <w:b w:val="false"/>
          <w:i/>
          <w:color w:val="000000"/>
          <w:sz w:val="24"/>
        </w:rPr>
        <w:t>“a.”</w:t>
      </w:r>
    </w:p>
    <w:p>
      <w:pPr>
        <w:spacing w:before="210" w:after="0" w:line="480"/>
        <w:ind w:left="120"/>
        <w:jc w:val="both"/>
      </w:pPr>
      <w:r>
        <w:rPr>
          <w:rFonts w:ascii="Times New Roman" w:hAnsi="Times New Roman"/>
          <w:b/>
          <w:i w:val="false"/>
          <w:color w:val="000000"/>
          <w:sz w:val="24"/>
        </w:rPr>
        <w:t>441—2.3</w:t>
      </w:r>
      <w:r>
        <w:rPr>
          <w:rFonts w:ascii="Times New Roman" w:hAnsi="Times New Roman"/>
          <w:b/>
          <w:i w:val="false"/>
          <w:color w:val="000000"/>
          <w:sz w:val="24"/>
        </w:rPr>
        <w:t xml:space="preserve">(217) </w:t>
      </w:r>
      <w:r>
        <w:rPr>
          <w:rFonts w:ascii="Times New Roman" w:hAnsi="Times New Roman"/>
          <w:b/>
          <w:i w:val="false"/>
          <w:color w:val="000000"/>
          <w:sz w:val="24"/>
        </w:rPr>
        <w:t xml:space="preserve">Public notice and stakeholder engagement. </w:t>
      </w:r>
      <w:r>
        <w:rPr>
          <w:rFonts w:ascii="Times New Roman" w:hAnsi="Times New Roman"/>
          <w:b w:val="false"/>
          <w:i w:val="false"/>
          <w:color w:val="000000"/>
          <w:sz w:val="24"/>
        </w:rPr>
        <w:t>At least one year before the start of each review, the department will publish notice on its website. The notice will include the scope of the review, the timeline for the review, and engagement opportunities, including the date and time of any public hearings.</w:t>
      </w:r>
    </w:p>
    <w:p>
      <w:pPr>
        <w:spacing w:before="0" w:after="0" w:line="480"/>
        <w:ind w:left="120"/>
        <w:jc w:val="both"/>
      </w:pPr>
      <w:r>
        <w:rPr>
          <w:rFonts w:ascii="Times New Roman" w:hAnsi="Times New Roman"/>
          <w:b/>
          <w:i w:val="false"/>
          <w:color w:val="000000"/>
          <w:sz w:val="24"/>
        </w:rPr>
        <w:t>441—2.4</w:t>
      </w:r>
      <w:r>
        <w:rPr>
          <w:rFonts w:ascii="Times New Roman" w:hAnsi="Times New Roman"/>
          <w:b/>
          <w:i w:val="false"/>
          <w:color w:val="000000"/>
          <w:sz w:val="24"/>
        </w:rPr>
        <w:t xml:space="preserve">(217) </w:t>
      </w:r>
      <w:r>
        <w:rPr>
          <w:rFonts w:ascii="Times New Roman" w:hAnsi="Times New Roman"/>
          <w:b/>
          <w:i w:val="false"/>
          <w:color w:val="000000"/>
          <w:sz w:val="24"/>
        </w:rPr>
        <w:t xml:space="preserve">Internal review team. </w:t>
      </w:r>
      <w:r>
        <w:rPr>
          <w:rFonts w:ascii="Times New Roman" w:hAnsi="Times New Roman"/>
          <w:b w:val="false"/>
          <w:i w:val="false"/>
          <w:color w:val="000000"/>
          <w:sz w:val="24"/>
        </w:rPr>
        <w:t xml:space="preserve">To effectuate the review, the department will assemble a team of department subject matter experts representing each HHS services system and a data analytics expert who will analyze the data collected as it relates to the factors outlined in subrule </w:t>
      </w:r>
      <w:hyperlink r:id="rId12">
        <w:r>
          <w:rPr>
            <w:rStyle w:val="Hyperlink"/>
            <w:rFonts w:ascii="Times New Roman" w:hAnsi="Times New Roman"/>
            <w:b w:val="false"/>
            <w:i w:val="false"/>
            <w:color w:val="000000"/>
            <w:sz w:val="24"/>
          </w:rPr>
          <w:t>2.2(1)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2.4(1)</w:t>
      </w:r>
      <w:r>
        <w:rPr>
          <w:rFonts w:ascii="Times New Roman" w:hAnsi="Times New Roman"/>
          <w:b w:val="false"/>
          <w:i w:val="false"/>
          <w:color w:val="000000"/>
          <w:sz w:val="24"/>
        </w:rPr>
        <w:t> </w:t>
      </w:r>
      <w:r>
        <w:rPr>
          <w:rFonts w:ascii="Times New Roman" w:hAnsi="Times New Roman"/>
          <w:b w:val="false"/>
          <w:i/>
          <w:color w:val="000000"/>
          <w:sz w:val="24"/>
        </w:rPr>
        <w:t xml:space="preserve">Preliminary report. </w:t>
      </w:r>
      <w:r>
        <w:rPr>
          <w:rFonts w:ascii="Times New Roman" w:hAnsi="Times New Roman"/>
          <w:b w:val="false"/>
          <w:i w:val="false"/>
          <w:color w:val="000000"/>
          <w:sz w:val="24"/>
        </w:rPr>
        <w:t>The internal review team will prepare and deliver to the director a report of findings and recommendations. The report will also be published on the department’s website and shared with district advisory councils and the council. The report may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internal review team’s findings on HHS district efficacy;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 analysis of the factors outlined in Iowa Code section </w:t>
      </w:r>
      <w:hyperlink r:id="rId13">
        <w:r>
          <w:rPr>
            <w:rStyle w:val="Hyperlink"/>
            <w:rFonts w:ascii="Times New Roman" w:hAnsi="Times New Roman"/>
            <w:b w:val="false"/>
            <w:i w:val="false"/>
            <w:color w:val="000000"/>
            <w:sz w:val="24"/>
          </w:rPr>
          <w:t>217.1B(2)</w:t>
        </w:r>
      </w:hyperlink>
      <w:r>
        <w:rPr>
          <w:rFonts w:ascii="Times New Roman" w:hAnsi="Times New Roman"/>
          <w:b w:val="false"/>
          <w:i/>
          <w:color w:val="000000"/>
          <w:sz w:val="24"/>
        </w:rPr>
        <w:t>“a”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summary of any public feedback;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internal review team’s recommendation on HHS district map retention or revision;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proposed effective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210" w:after="0" w:line="480"/>
        <w:ind w:left="120"/>
        <w:jc w:val="both"/>
      </w:pPr>
      <w:r>
        <w:rPr>
          <w:rFonts w:ascii="Times New Roman" w:hAnsi="Times New Roman"/>
          <w:b/>
          <w:i w:val="false"/>
          <w:color w:val="000000"/>
          <w:sz w:val="24"/>
        </w:rPr>
        <w:t>441—2.5</w:t>
      </w:r>
      <w:r>
        <w:rPr>
          <w:rFonts w:ascii="Times New Roman" w:hAnsi="Times New Roman"/>
          <w:b/>
          <w:i w:val="false"/>
          <w:color w:val="000000"/>
          <w:sz w:val="24"/>
        </w:rPr>
        <w:t xml:space="preserve">(217) </w:t>
      </w:r>
      <w:r>
        <w:rPr>
          <w:rFonts w:ascii="Times New Roman" w:hAnsi="Times New Roman"/>
          <w:b/>
          <w:i w:val="false"/>
          <w:color w:val="000000"/>
          <w:sz w:val="24"/>
        </w:rPr>
        <w:t xml:space="preserve">Final decision. </w:t>
      </w:r>
      <w:r>
        <w:rPr>
          <w:rFonts w:ascii="Times New Roman" w:hAnsi="Times New Roman"/>
          <w:b w:val="false"/>
          <w:i w:val="false"/>
          <w:color w:val="000000"/>
          <w:sz w:val="24"/>
        </w:rPr>
        <w:t xml:space="preserve">Within 30 days of receipt of the internal review team’s report of findings and recommendations, the director will make a final decision on HHS district map retention or revision. The director’s decision is considered final agency action and is not subject to appeal under Iowa Code chapter </w:t>
      </w:r>
      <w:hyperlink r:id="rId14">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or </w:t>
      </w:r>
      <w:hyperlink r:id="rId15">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6">
        <w:r>
          <w:rPr>
            <w:rStyle w:val="Hyperlink"/>
            <w:rFonts w:ascii="Times New Roman" w:hAnsi="Times New Roman"/>
            <w:b w:val="false"/>
            <w:i w:val="false"/>
            <w:color w:val="000000"/>
            <w:sz w:val="24"/>
          </w:rPr>
          <w:t>217.1B</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441—300.1(225A)</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“District behavioral health service system plan,”</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t>
      </w:r>
      <w:r>
        <w:rPr>
          <w:rFonts w:ascii="Times New Roman" w:hAnsi="Times New Roman"/>
          <w:b w:val="false"/>
          <w:i/>
          <w:strike/>
          <w:color w:val="000000"/>
          <w:sz w:val="24"/>
        </w:rPr>
        <w:t>District behavioral</w:t>
      </w:r>
      <w:r>
        <w:rPr>
          <w:rFonts w:ascii="Times New Roman" w:hAnsi="Times New Roman"/>
          <w:b w:val="false"/>
          <w:i/>
          <w:color w:val="000000"/>
          <w:sz w:val="24"/>
          <w:u w:val="single"/>
        </w:rPr>
        <w:t> </w:t>
      </w:r>
      <w:r>
        <w:rPr>
          <w:rFonts w:ascii="Times New Roman" w:hAnsi="Times New Roman"/>
          <w:b w:val="false"/>
          <w:i/>
          <w:color w:val="000000"/>
          <w:sz w:val="24"/>
          <w:u w:val="single"/>
        </w:rPr>
        <w:t>Behavioral</w:t>
      </w:r>
      <w:r>
        <w:rPr>
          <w:rFonts w:ascii="Times New Roman" w:hAnsi="Times New Roman"/>
          <w:b w:val="false"/>
          <w:i/>
          <w:color w:val="000000"/>
          <w:sz w:val="24"/>
        </w:rPr>
        <w:t xml:space="preserve"> health</w:t>
      </w:r>
      <w:r>
        <w:rPr>
          <w:rFonts w:ascii="Times New Roman" w:hAnsi="Times New Roman"/>
          <w:b w:val="false"/>
          <w:i/>
          <w:color w:val="000000"/>
          <w:sz w:val="24"/>
          <w:u w:val="single"/>
        </w:rPr>
        <w:t> </w:t>
      </w:r>
      <w:r>
        <w:rPr>
          <w:rFonts w:ascii="Times New Roman" w:hAnsi="Times New Roman"/>
          <w:b w:val="false"/>
          <w:i/>
          <w:color w:val="000000"/>
          <w:sz w:val="24"/>
          <w:u w:val="single"/>
        </w:rPr>
        <w:t>district</w:t>
      </w:r>
      <w:r>
        <w:rPr>
          <w:rFonts w:ascii="Times New Roman" w:hAnsi="Times New Roman"/>
          <w:b w:val="false"/>
          <w:i/>
          <w:color w:val="000000"/>
          <w:sz w:val="24"/>
        </w:rPr>
        <w:t xml:space="preserve"> service system plan”</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“district plan”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plan developed by the district BH-ASO and approved by the department to ensure access to behavioral health care and behavioral health services throughout a district.  </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302.1(3)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302.1(3)</w:t>
      </w:r>
      <w:r>
        <w:rPr>
          <w:rFonts w:ascii="Times New Roman" w:hAnsi="Times New Roman"/>
          <w:b w:val="false"/>
          <w:i w:val="false"/>
          <w:color w:val="000000"/>
          <w:sz w:val="24"/>
        </w:rPr>
        <w:t> </w:t>
      </w:r>
      <w:r>
        <w:rPr>
          <w:rFonts w:ascii="Times New Roman" w:hAnsi="Times New Roman"/>
          <w:b w:val="false"/>
          <w:i/>
          <w:strike/>
          <w:color w:val="000000"/>
          <w:sz w:val="24"/>
        </w:rPr>
        <w:t>District behavioral</w:t>
      </w:r>
      <w:r>
        <w:rPr>
          <w:rFonts w:ascii="Times New Roman" w:hAnsi="Times New Roman"/>
          <w:b w:val="false"/>
          <w:i/>
          <w:color w:val="000000"/>
          <w:sz w:val="24"/>
          <w:u w:val="single"/>
        </w:rPr>
        <w:t> </w:t>
      </w:r>
      <w:r>
        <w:rPr>
          <w:rFonts w:ascii="Times New Roman" w:hAnsi="Times New Roman"/>
          <w:b w:val="false"/>
          <w:i/>
          <w:color w:val="000000"/>
          <w:sz w:val="24"/>
          <w:u w:val="single"/>
        </w:rPr>
        <w:t>Behavioral</w:t>
      </w:r>
      <w:r>
        <w:rPr>
          <w:rFonts w:ascii="Times New Roman" w:hAnsi="Times New Roman"/>
          <w:b w:val="false"/>
          <w:i/>
          <w:color w:val="000000"/>
          <w:sz w:val="24"/>
        </w:rPr>
        <w:t xml:space="preserve"> health</w:t>
      </w:r>
      <w:r>
        <w:rPr>
          <w:rFonts w:ascii="Times New Roman" w:hAnsi="Times New Roman"/>
          <w:b w:val="false"/>
          <w:i/>
          <w:color w:val="000000"/>
          <w:sz w:val="24"/>
          <w:u w:val="single"/>
        </w:rPr>
        <w:t> </w:t>
      </w:r>
      <w:r>
        <w:rPr>
          <w:rFonts w:ascii="Times New Roman" w:hAnsi="Times New Roman"/>
          <w:b w:val="false"/>
          <w:i/>
          <w:color w:val="000000"/>
          <w:sz w:val="24"/>
          <w:u w:val="single"/>
        </w:rPr>
        <w:t>district</w:t>
      </w:r>
      <w:r>
        <w:rPr>
          <w:rFonts w:ascii="Times New Roman" w:hAnsi="Times New Roman"/>
          <w:b w:val="false"/>
          <w:i/>
          <w:color w:val="000000"/>
          <w:sz w:val="24"/>
        </w:rPr>
        <w:t xml:space="preserve"> service system plan. </w:t>
      </w:r>
      <w:r>
        <w:rPr>
          <w:rFonts w:ascii="Times New Roman" w:hAnsi="Times New Roman"/>
          <w:b w:val="false"/>
          <w:i w:val="false"/>
          <w:color w:val="000000"/>
          <w:sz w:val="24"/>
        </w:rPr>
        <w:t xml:space="preserve">A BH-ASO will collaborate with the </w:t>
      </w:r>
      <w:r>
        <w:rPr>
          <w:rFonts w:ascii="Times New Roman" w:hAnsi="Times New Roman"/>
          <w:b w:val="false"/>
          <w:i w:val="false"/>
          <w:strike/>
          <w:color w:val="000000"/>
          <w:sz w:val="24"/>
        </w:rPr>
        <w:t>district</w:t>
      </w:r>
      <w:r>
        <w:rPr>
          <w:rFonts w:ascii="Times New Roman" w:hAnsi="Times New Roman"/>
          <w:b w:val="false"/>
          <w:i w:val="false"/>
          <w:color w:val="000000"/>
          <w:sz w:val="24"/>
        </w:rPr>
        <w:t xml:space="preserve"> behavioral health</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district</w:t>
      </w:r>
      <w:r>
        <w:rPr>
          <w:rFonts w:ascii="Times New Roman" w:hAnsi="Times New Roman"/>
          <w:b w:val="false"/>
          <w:i w:val="false"/>
          <w:color w:val="000000"/>
          <w:sz w:val="24"/>
        </w:rPr>
        <w:t xml:space="preserve"> advisory council and other stakeholders to develop a </w:t>
      </w:r>
      <w:r>
        <w:rPr>
          <w:rFonts w:ascii="Times New Roman" w:hAnsi="Times New Roman"/>
          <w:b w:val="false"/>
          <w:i w:val="false"/>
          <w:strike/>
          <w:color w:val="000000"/>
          <w:sz w:val="24"/>
        </w:rPr>
        <w:t>district</w:t>
      </w:r>
      <w:r>
        <w:rPr>
          <w:rFonts w:ascii="Times New Roman" w:hAnsi="Times New Roman"/>
          <w:b w:val="false"/>
          <w:i w:val="false"/>
          <w:color w:val="000000"/>
          <w:sz w:val="24"/>
        </w:rPr>
        <w:t xml:space="preserve"> behavioral health</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district</w:t>
      </w:r>
      <w:r>
        <w:rPr>
          <w:rFonts w:ascii="Times New Roman" w:hAnsi="Times New Roman"/>
          <w:b w:val="false"/>
          <w:i w:val="false"/>
          <w:color w:val="000000"/>
          <w:sz w:val="24"/>
        </w:rPr>
        <w:t xml:space="preserve"> service system plan to describe all behavioral health services and supports and other activities in support of the behavioral health system to be delivered by the BH-ASO. </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w:t>
      </w:r>
      <w:r>
        <w:rPr>
          <w:rFonts w:ascii="Times New Roman" w:hAnsi="Times New Roman"/>
          <w:b/>
          <w:i w:val="false"/>
          <w:color w:val="000000"/>
          <w:sz w:val="24"/>
        </w:rPr>
        <w:t>441—Chapter 304</w:t>
      </w:r>
      <w:r>
        <w:rPr>
          <w:rFonts w:ascii="Times New Roman" w:hAnsi="Times New Roman"/>
          <w:b w:val="false"/>
          <w:i w:val="false"/>
          <w:color w:val="000000"/>
          <w:sz w:val="24"/>
        </w:rPr>
        <w:t>, title</w:t>
      </w:r>
      <w:r>
        <w:rPr>
          <w:rFonts w:ascii="Times New Roman" w:hAnsi="Times New Roman"/>
          <w:b w:val="false"/>
          <w:i w:val="false"/>
          <w:color w:val="000000"/>
          <w:sz w:val="24"/>
        </w:rPr>
        <w:t>, as follows:</w:t>
      </w:r>
    </w:p>
    <w:p>
      <w:pPr>
        <w:spacing w:before="0" w:after="0" w:line="480"/>
        <w:ind w:left="120"/>
        <w:jc w:val="center"/>
      </w:pPr>
      <w:r>
        <w:rPr>
          <w:rFonts w:ascii="Times New Roman" w:hAnsi="Times New Roman"/>
          <w:b w:val="false"/>
          <w:i w:val="false"/>
          <w:strike/>
          <w:color w:val="000000"/>
          <w:sz w:val="24"/>
        </w:rPr>
        <w:t>DISTRICT</w:t>
      </w:r>
      <w:r>
        <w:rPr>
          <w:rFonts w:ascii="Times New Roman" w:hAnsi="Times New Roman"/>
          <w:b w:val="false"/>
          <w:i w:val="false"/>
          <w:color w:val="000000"/>
          <w:sz w:val="21"/>
        </w:rPr>
        <w:t xml:space="preserve"> BEHAVIORAL HEALTH</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DISTRICT</w:t>
      </w:r>
      <w:r>
        <w:rPr>
          <w:rFonts w:ascii="Times New Roman" w:hAnsi="Times New Roman"/>
          <w:b w:val="false"/>
          <w:i w:val="false"/>
          <w:color w:val="000000"/>
          <w:sz w:val="21"/>
        </w:rPr>
        <w:t xml:space="preserve"> ADVISORY COUNCILS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441—304.1(225A)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441—304.1</w:t>
      </w:r>
      <w:r>
        <w:rPr>
          <w:rFonts w:ascii="Times New Roman" w:hAnsi="Times New Roman"/>
          <w:b/>
          <w:i w:val="false"/>
          <w:color w:val="000000"/>
          <w:sz w:val="24"/>
        </w:rPr>
        <w:t xml:space="preserve">(225A)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the purpose of this chapter, the following definitions apply:</w:t>
      </w:r>
    </w:p>
    <w:p>
      <w:pPr>
        <w:spacing w:before="0" w:after="0" w:line="480"/>
        <w:ind w:left="120"/>
        <w:jc w:val="both"/>
      </w:pPr>
      <w:r>
        <w:rPr>
          <w:rFonts w:ascii="Times New Roman" w:hAnsi="Times New Roman"/>
          <w:b w:val="false"/>
          <w:i/>
          <w:color w:val="000000"/>
          <w:sz w:val="24"/>
          <w:u w:val="single"/>
        </w:rPr>
        <w:t>“Behavioral health district advisory council”</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u w:val="single"/>
        </w:rPr>
        <w:t>“advisory council”</w:t>
      </w:r>
      <w:r>
        <w:rPr>
          <w:rFonts w:ascii="Times New Roman" w:hAnsi="Times New Roman"/>
          <w:b w:val="false"/>
          <w:i/>
          <w:color w:val="000000"/>
          <w:sz w:val="24"/>
          <w:u w:val="single"/>
        </w:rPr>
        <w:t> </w:t>
      </w:r>
      <w:r>
        <w:rPr>
          <w:rFonts w:ascii="Times New Roman" w:hAnsi="Times New Roman"/>
          <w:b w:val="false"/>
          <w:i w:val="false"/>
          <w:color w:val="000000"/>
          <w:sz w:val="24"/>
          <w:u w:val="single"/>
        </w:rPr>
        <w:t xml:space="preserve">means the same as defined in Iowa Code section </w:t>
      </w:r>
      <w:hyperlink r:id="rId17">
        <w:r>
          <w:rPr>
            <w:rStyle w:val="Hyperlink"/>
            <w:rFonts w:ascii="Times New Roman" w:hAnsi="Times New Roman"/>
            <w:b w:val="false"/>
            <w:i w:val="false"/>
            <w:color w:val="000000"/>
            <w:sz w:val="24"/>
            <w:u w:val="single"/>
          </w:rPr>
          <w:t>225A.1</w:t>
        </w:r>
      </w:hyperlink>
      <w:r>
        <w:rPr>
          <w:rFonts w:ascii="Times New Roman" w:hAnsi="Times New Roman"/>
          <w:b w:val="false"/>
          <w:i w:val="false"/>
          <w:color w:val="000000"/>
          <w:sz w:val="24"/>
          <w:u w:val="single"/>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“Chairperson”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chairperson of the </w:t>
      </w:r>
      <w:r>
        <w:rPr>
          <w:rFonts w:ascii="Times New Roman" w:hAnsi="Times New Roman"/>
          <w:b w:val="false"/>
          <w:i w:val="false"/>
          <w:strike/>
          <w:color w:val="000000"/>
          <w:sz w:val="24"/>
        </w:rPr>
        <w:t>district</w:t>
      </w:r>
      <w:r>
        <w:rPr>
          <w:rFonts w:ascii="Times New Roman" w:hAnsi="Times New Roman"/>
          <w:b w:val="false"/>
          <w:i w:val="false"/>
          <w:color w:val="000000"/>
          <w:sz w:val="24"/>
        </w:rPr>
        <w:t xml:space="preserve"> behavioral health</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district</w:t>
      </w:r>
      <w:r>
        <w:rPr>
          <w:rFonts w:ascii="Times New Roman" w:hAnsi="Times New Roman"/>
          <w:b w:val="false"/>
          <w:i w:val="false"/>
          <w:color w:val="000000"/>
          <w:sz w:val="24"/>
        </w:rPr>
        <w:t xml:space="preserve"> advisory council who has been elected by a majority of advisory council members.</w:t>
      </w:r>
    </w:p>
    <w:p>
      <w:pPr>
        <w:spacing w:before="0" w:after="0" w:line="480"/>
        <w:ind w:left="120"/>
        <w:jc w:val="both"/>
      </w:pPr>
      <w:r>
        <w:rPr>
          <w:rFonts w:ascii="Times New Roman" w:hAnsi="Times New Roman"/>
          <w:b w:val="false"/>
          <w:i/>
          <w:strike/>
          <w:color w:val="000000"/>
          <w:sz w:val="24"/>
        </w:rPr>
        <w:t>“District behavioral health advisory council”</w:t>
      </w:r>
      <w:r>
        <w:rPr>
          <w:rFonts w:ascii="Times New Roman" w:hAnsi="Times New Roman"/>
          <w:b w:val="false"/>
          <w:i/>
          <w:strike/>
          <w:color w:val="000000"/>
          <w:sz w:val="24"/>
        </w:rPr>
        <w:t> </w:t>
      </w:r>
      <w:r>
        <w:rPr>
          <w:rFonts w:ascii="Times New Roman" w:hAnsi="Times New Roman"/>
          <w:b w:val="false"/>
          <w:i w:val="false"/>
          <w:color w:val="000000"/>
          <w:sz w:val="24"/>
        </w:rPr>
        <w:t xml:space="preserve">or </w:t>
      </w:r>
      <w:r>
        <w:rPr>
          <w:rFonts w:ascii="Times New Roman" w:hAnsi="Times New Roman"/>
          <w:b w:val="false"/>
          <w:i/>
          <w:strike/>
          <w:color w:val="000000"/>
          <w:sz w:val="24"/>
        </w:rPr>
        <w:t>“advisory council”</w:t>
      </w:r>
      <w:r>
        <w:rPr>
          <w:rFonts w:ascii="Times New Roman" w:hAnsi="Times New Roman"/>
          <w:b w:val="false"/>
          <w:i/>
          <w:strike/>
          <w:color w:val="000000"/>
          <w:sz w:val="24"/>
        </w:rPr>
        <w:t> </w:t>
      </w:r>
      <w:r>
        <w:rPr>
          <w:rFonts w:ascii="Times New Roman" w:hAnsi="Times New Roman"/>
          <w:b w:val="false"/>
          <w:i w:val="false"/>
          <w:strike/>
          <w:color w:val="000000"/>
          <w:sz w:val="24"/>
        </w:rPr>
        <w:t xml:space="preserve">means the same as defined in Iowa Code section </w:t>
      </w:r>
      <w:hyperlink r:id="rId18">
        <w:r>
          <w:rPr>
            <w:rStyle w:val="Hyperlink"/>
            <w:rFonts w:ascii="Times New Roman" w:hAnsi="Times New Roman"/>
            <w:b w:val="false"/>
            <w:i w:val="false"/>
            <w:strike/>
            <w:color w:val="000000"/>
            <w:sz w:val="24"/>
          </w:rPr>
          <w:t>225A.1</w:t>
        </w:r>
      </w:hyperlink>
      <w:r>
        <w:rPr>
          <w:rFonts w:ascii="Times New Roman" w:hAnsi="Times New Roman"/>
          <w:b w:val="false"/>
          <w:i w:val="false"/>
          <w:strike/>
          <w:color w:val="000000"/>
          <w:sz w:val="24"/>
        </w:rPr>
        <w:t>.</w:t>
      </w:r>
    </w:p>
    <w:p>
      <w:pPr>
        <w:spacing w:before="0" w:after="0" w:line="240"/>
        <w:ind w:left="120"/>
        <w:jc w:val="both"/>
      </w:pPr>
    </w:p>
    <w:sectPr>
      <w:footerReference r:id="rId1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217.2.pdf" Type="http://schemas.openxmlformats.org/officeDocument/2006/relationships/hyperlink" Id="rId5"/>
    <Relationship TargetMode="External" Target="https://www.legis.iowa.gov/docs/ico/chapter/225A.5.pdf" Type="http://schemas.openxmlformats.org/officeDocument/2006/relationships/hyperlink" Id="rId6"/>
    <Relationship TargetMode="External" Target="https://www.legis.iowa.gov/docs/ico/chapter/234A.3.pdf" Type="http://schemas.openxmlformats.org/officeDocument/2006/relationships/hyperlink" Id="rId7"/>
    <Relationship TargetMode="External" Target="https://www.legis.iowa.gov/docs/ico/chapter/217.1.pdf" Type="http://schemas.openxmlformats.org/officeDocument/2006/relationships/hyperlink" Id="rId8"/>
    <Relationship TargetMode="External" Target="https://www.legis.iowa.gov/docs/ico/chapter/217.1B.pdf" Type="http://schemas.openxmlformats.org/officeDocument/2006/relationships/hyperlink" Id="rId9"/>
    <Relationship TargetMode="External" Target="https://www.legis.iowa.gov/docs/iac/rule/441.2.2.pdf" Type="http://schemas.openxmlformats.org/officeDocument/2006/relationships/hyperlink" Id="rId10"/>
    <Relationship TargetMode="External" Target="https://www.legis.iowa.gov/docs/ico/chapter/217.1B.pdf" Type="http://schemas.openxmlformats.org/officeDocument/2006/relationships/hyperlink" Id="rId11"/>
    <Relationship TargetMode="External" Target="https://www.legis.iowa.gov/docs/iac/rule/441.2.2.pdf" Type="http://schemas.openxmlformats.org/officeDocument/2006/relationships/hyperlink" Id="rId12"/>
    <Relationship TargetMode="External" Target="https://www.legis.iowa.gov/docs/ico/chapter/217.1B.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ac/chapter/441.2506.pdf" Type="http://schemas.openxmlformats.org/officeDocument/2006/relationships/hyperlink" Id="rId15"/>
    <Relationship TargetMode="External" Target="https://www.legis.iowa.gov/docs/ico/chapter/217.1B.pdf" Type="http://schemas.openxmlformats.org/officeDocument/2006/relationships/hyperlink" Id="rId16"/>
    <Relationship TargetMode="External" Target="https://www.legis.iowa.gov/docs/ico/chapter/225A.1.pdf" Type="http://schemas.openxmlformats.org/officeDocument/2006/relationships/hyperlink" Id="rId17"/>
    <Relationship TargetMode="External" Target="https://www.legis.iowa.gov/docs/ico/chapter/225A.1.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